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FRANKLIN COVEY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ASKELADDEN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159"/>
        <w:spacing w:after="0"/>
        <w:rPr>
          <w:sz w:val="20"/>
          <w:szCs w:val="20"/>
          <w:color w:val="auto"/>
        </w:rPr>
      </w:pPr>
      <w:r>
        <w:rPr>
          <w:rFonts w:ascii="Times New Roman" w:cs="Times New Roman" w:eastAsia="Times New Roman" w:hAnsi="Times New Roman"/>
          <w:sz w:val="22"/>
          <w:szCs w:val="22"/>
          <w:color w:val="auto"/>
        </w:rPr>
        <w:t>TEXAS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651,459.00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651,459.00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651,459.00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Samir Patel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651,459.00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651,459.00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651,459.00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spacing w:after="0" w:line="198" w:lineRule="exact"/>
        <w:rPr>
          <w:sz w:val="20"/>
          <w:szCs w:val="20"/>
          <w:color w:val="auto"/>
        </w:rPr>
      </w:pPr>
    </w:p>
    <w:p>
      <w:pPr>
        <w:ind w:left="1120" w:right="620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 HC</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FRANKLIN COVEY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2200 W PARKWAY BLVD, SALT LAKE CITY, UTAH, 84119-2331.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5" w:lineRule="auto"/>
        <w:rPr>
          <w:sz w:val="20"/>
          <w:szCs w:val="20"/>
          <w:color w:val="auto"/>
        </w:rPr>
      </w:pPr>
      <w:r>
        <w:rPr>
          <w:rFonts w:ascii="Times New Roman" w:cs="Times New Roman" w:eastAsia="Times New Roman" w:hAnsi="Times New Roman"/>
          <w:sz w:val="21"/>
          <w:szCs w:val="21"/>
          <w:color w:val="auto"/>
        </w:rPr>
        <w:t>This statement is being jointly filed by and on behalf of each of Askeladden Capital Management, LLC, a Texas limited liability company ('Askeladden') and Samir Patel. The separately managed accounts on behalf of investment advisory clients ('Managed Accounts') of Askeladden are the record and direct beneficial owners of the securities covered by this statement. As the investment adviser to the Managed Accounts, Askeladden may be deemed to beneficially own the securities covered by this statement. Mr. Patel is the Member of, and may be deemed to beneficially own securities owned by, Askeladden. Each reporting person declares that neither the filing of this</w:t>
      </w:r>
    </w:p>
    <w:p>
      <w:pPr>
        <w:spacing w:after="0" w:line="3" w:lineRule="exact"/>
        <w:rPr>
          <w:sz w:val="20"/>
          <w:szCs w:val="20"/>
          <w:color w:val="auto"/>
        </w:rPr>
      </w:pPr>
    </w:p>
    <w:p>
      <w:pPr>
        <w:ind w:left="9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statement nor anything herein shall be construed as an admission that such person is, for the purposes of Section 13(d) or 13(g) of the Actor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ectPr>
          <w:pgSz w:w="11900" w:h="17037" w:orient="portrait"/>
          <w:cols w:equalWidth="0" w:num="1">
            <w:col w:w="11140"/>
          </w:cols>
          <w:pgMar w:left="360" w:top="111" w:right="399" w:bottom="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W PARKWAY BLVD, SALT LAKE CITY, UTAH, 84119-2331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on the cover page(s)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7037" w:orient="portrait"/>
          <w:cols w:equalWidth="0" w:num="2">
            <w:col w:w="620" w:space="300"/>
            <w:col w:w="10220"/>
          </w:cols>
          <w:pgMar w:left="360" w:top="111" w:right="399" w:bottom="0" w:gutter="0" w:footer="0" w:header="0"/>
          <w:type w:val="continuous"/>
        </w:sectPr>
      </w:pPr>
    </w:p>
    <w:p>
      <w:pPr>
        <w:ind w:right="5040" w:firstLine="8"/>
        <w:spacing w:after="0" w:line="588" w:lineRule="auto"/>
        <w:tabs>
          <w:tab w:leader="none" w:pos="9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7" w:orient="portrait"/>
          <w:cols w:equalWidth="0" w:num="1">
            <w:col w:w="11140"/>
          </w:cols>
          <w:pgMar w:left="360" w:top="111" w:right="39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84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9 on the cover page(s) hereto. Percent of class:</w:t>
      </w:r>
    </w:p>
    <w:p>
      <w:pPr>
        <w:spacing w:after="0" w:line="131" w:lineRule="exact"/>
        <w:rPr>
          <w:rFonts w:ascii="Times New Roman" w:cs="Times New Roman" w:eastAsia="Times New Roman" w:hAnsi="Times New Roman"/>
          <w:sz w:val="22"/>
          <w:szCs w:val="22"/>
          <w:color w:val="auto"/>
        </w:rPr>
      </w:pPr>
    </w:p>
    <w:p>
      <w:pPr>
        <w:ind w:left="920" w:right="1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calculated in Item 11 is based on 11,552,552 shares of Common Stock outstanding as of December 31, 2025, as reported in the Issuer's Quarterly Report on Form 10-Q for the quarter ended November 30th, 2025 and as filed with the SEC on January 9th,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509" w:lineRule="auto"/>
        <w:tabs>
          <w:tab w:leader="none" w:pos="25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on the cover page(s) hereto.</w:t>
      </w:r>
    </w:p>
    <w:p>
      <w:pPr>
        <w:spacing w:after="0" w:line="1" w:lineRule="exact"/>
        <w:rPr>
          <w:rFonts w:ascii="Times New Roman" w:cs="Times New Roman" w:eastAsia="Times New Roman" w:hAnsi="Times New Roman"/>
          <w:sz w:val="21"/>
          <w:szCs w:val="21"/>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on the cover page(s) hereto.</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on the cover page(s) hereto.</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page(s) hereto.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586"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ASKELADDEN CAPITAL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Samir Patel</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Samir Patel</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Samir Patel</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5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2026-05-15T11:45:46Z</dcterms:created>
  <dcterms:modified xsi:type="dcterms:W3CDTF">2026-05-15T11:45:46Z</dcterms:modified>
</cp:coreProperties>
</file>